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6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56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  <w:jc w:val="center"/>
            </w:pPr>
            <w:bookmarkStart w:id="0" w:name="_GoBack"/>
            <w: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小区门牌幢业主公共收益收支公示表（样张）</w:t>
            </w:r>
            <w:bookmarkEnd w:id="0"/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（2021年01月01日-2021年03月31日）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56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门牌幢地址：                                                   单位:元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6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本期收入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（不包括银行产生的利息）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1、停车费收入：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2、广告费收入：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3、公共区域设摊场地租金：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4、公共配套房屋设施收入：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5、通信设备用房租金和维护费等：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6、赔偿或残值处理收入：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7、其它收入：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5" w:hRule="atLeast"/>
          <w:jc w:val="center"/>
        </w:trPr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管理成本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1、税费：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2、能耗等其他成本（按合同约定）：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本期收益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拟入账金额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公共收益子账户：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其中：公共收益子账户转维修资金子账户：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本期公共收益子账户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支出：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①补贴物业服务费：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②用于物业管理其他需要：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③其他：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本业委会已收到物业服务企业提供的上述账目明细。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****物业服务企业（盖章）                           ****业委会（盖章）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打印日期：2021年**月**日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03AE7"/>
    <w:rsid w:val="29F33C51"/>
    <w:rsid w:val="562140FB"/>
    <w:rsid w:val="6D2E5686"/>
    <w:rsid w:val="7F5C2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2021-07-26T07:12:27Z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B6BE86BC888948938C3D0A7B99F189BA</vt:lpwstr>
  </property>
</Properties>
</file>